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CA8CA">
      <w:pPr>
        <w:spacing w:before="0" w:after="40" w:line="336" w:lineRule="auto"/>
        <w:rPr>
          <w:b/>
          <w:bCs/>
        </w:rPr>
      </w:pPr>
      <w:r>
        <w:rPr>
          <w:rFonts w:ascii="宋体" w:hAnsi="宋体" w:eastAsia="宋体"/>
          <w:b/>
          <w:bCs/>
          <w:sz w:val="24"/>
        </w:rPr>
        <w:t>附件</w:t>
      </w:r>
    </w:p>
    <w:p w14:paraId="0B7FE791">
      <w:pPr>
        <w:spacing w:before="0" w:after="40" w:line="336" w:lineRule="auto"/>
        <w:jc w:val="center"/>
      </w:pPr>
      <w:r>
        <w:rPr>
          <w:rFonts w:ascii="黑体" w:hAnsi="黑体" w:eastAsia="黑体"/>
          <w:b/>
          <w:sz w:val="30"/>
        </w:rPr>
        <w:t>北京京顺医院新建核医学科项目</w:t>
      </w:r>
    </w:p>
    <w:p w14:paraId="532DA90A">
      <w:pPr>
        <w:spacing w:before="0" w:after="80" w:line="336" w:lineRule="auto"/>
        <w:jc w:val="center"/>
      </w:pPr>
      <w:r>
        <w:rPr>
          <w:rFonts w:ascii="黑体" w:hAnsi="黑体" w:eastAsia="黑体"/>
          <w:b/>
          <w:sz w:val="30"/>
        </w:rPr>
        <w:t>环境影响报告表（公示版）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9"/>
        <w:gridCol w:w="4479"/>
      </w:tblGrid>
      <w:tr w14:paraId="1A3D7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516A7335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建设单位</w:t>
            </w:r>
          </w:p>
        </w:tc>
        <w:tc>
          <w:tcPr>
            <w:tcW w:w="6690" w:type="dxa"/>
          </w:tcPr>
          <w:p w14:paraId="7DBBA2A4">
            <w:pPr>
              <w:spacing w:before="20" w:after="2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0"/>
              </w:rPr>
              <w:t>北京京顺医院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有限公司</w:t>
            </w:r>
          </w:p>
        </w:tc>
      </w:tr>
      <w:tr w14:paraId="57B70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21EA2859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项目名称</w:t>
            </w:r>
          </w:p>
        </w:tc>
        <w:tc>
          <w:tcPr>
            <w:tcW w:w="6690" w:type="dxa"/>
          </w:tcPr>
          <w:p w14:paraId="7B840942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北京京顺医院新建核医学科项目</w:t>
            </w:r>
          </w:p>
        </w:tc>
      </w:tr>
      <w:tr w14:paraId="27287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5068831F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建设地点</w:t>
            </w:r>
          </w:p>
        </w:tc>
        <w:tc>
          <w:tcPr>
            <w:tcW w:w="6690" w:type="dxa"/>
          </w:tcPr>
          <w:p w14:paraId="7B3905AF">
            <w:pPr>
              <w:spacing w:before="20" w:after="20" w:line="240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0"/>
              </w:rPr>
              <w:t>顺义区顺西北路甲22号院京顺健康城院区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负一</w:t>
            </w:r>
            <w:r>
              <w:rPr>
                <w:rFonts w:ascii="宋体" w:hAnsi="宋体" w:eastAsia="宋体"/>
                <w:b w:val="0"/>
                <w:sz w:val="20"/>
              </w:rPr>
              <w:t>层</w:t>
            </w: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东南角</w:t>
            </w:r>
          </w:p>
        </w:tc>
      </w:tr>
      <w:tr w14:paraId="1F475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373D5FB5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建设性质</w:t>
            </w:r>
          </w:p>
        </w:tc>
        <w:tc>
          <w:tcPr>
            <w:tcW w:w="6690" w:type="dxa"/>
          </w:tcPr>
          <w:p w14:paraId="147F683F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新建核医学工作场所及PET/CT机房</w:t>
            </w:r>
          </w:p>
        </w:tc>
      </w:tr>
      <w:tr w14:paraId="7A4B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3D672C06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项目投资</w:t>
            </w:r>
          </w:p>
        </w:tc>
        <w:tc>
          <w:tcPr>
            <w:tcW w:w="6690" w:type="dxa"/>
          </w:tcPr>
          <w:p w14:paraId="44D18DEE">
            <w:pPr>
              <w:spacing w:before="20" w:after="20" w:line="240" w:lineRule="auto"/>
            </w:pPr>
            <w:r>
              <w:rPr>
                <w:rFonts w:hint="eastAsia" w:ascii="宋体" w:hAnsi="宋体" w:eastAsia="宋体"/>
                <w:b w:val="0"/>
                <w:sz w:val="20"/>
                <w:lang w:val="en-US" w:eastAsia="zh-CN"/>
              </w:rPr>
              <w:t>约1600</w:t>
            </w:r>
            <w:r>
              <w:rPr>
                <w:rFonts w:ascii="宋体" w:hAnsi="宋体" w:eastAsia="宋体"/>
                <w:b w:val="0"/>
                <w:sz w:val="20"/>
              </w:rPr>
              <w:t>万元</w:t>
            </w:r>
          </w:p>
        </w:tc>
      </w:tr>
      <w:tr w14:paraId="46A4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372B8E41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主要设备</w:t>
            </w:r>
          </w:p>
        </w:tc>
        <w:tc>
          <w:tcPr>
            <w:tcW w:w="6690" w:type="dxa"/>
          </w:tcPr>
          <w:p w14:paraId="7EF686BC">
            <w:pPr>
              <w:spacing w:before="20" w:after="2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20"/>
              </w:rPr>
              <w:t>PET/CT 1台（乙类大型医用设备</w:t>
            </w:r>
            <w:r>
              <w:rPr>
                <w:rFonts w:hint="eastAsia" w:ascii="宋体" w:hAnsi="宋体" w:eastAsia="宋体"/>
                <w:b w:val="0"/>
                <w:sz w:val="20"/>
                <w:lang w:eastAsia="zh-CN"/>
              </w:rPr>
              <w:t>）</w:t>
            </w:r>
          </w:p>
        </w:tc>
      </w:tr>
      <w:tr w14:paraId="506BD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6A106662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使用核素</w:t>
            </w:r>
          </w:p>
        </w:tc>
        <w:tc>
          <w:tcPr>
            <w:tcW w:w="6690" w:type="dxa"/>
          </w:tcPr>
          <w:p w14:paraId="4E837588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氟-18</w:t>
            </w:r>
          </w:p>
        </w:tc>
      </w:tr>
      <w:tr w14:paraId="57F9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</w:tcPr>
          <w:p w14:paraId="5ED0C821">
            <w:pPr>
              <w:spacing w:before="20" w:after="20" w:line="240" w:lineRule="auto"/>
            </w:pPr>
            <w:r>
              <w:rPr>
                <w:rFonts w:ascii="宋体" w:hAnsi="宋体" w:eastAsia="宋体"/>
                <w:b w:val="0"/>
                <w:sz w:val="20"/>
              </w:rPr>
              <w:t>工作场所等级</w:t>
            </w:r>
          </w:p>
        </w:tc>
        <w:tc>
          <w:tcPr>
            <w:tcW w:w="6690" w:type="dxa"/>
          </w:tcPr>
          <w:p w14:paraId="7C6BA957">
            <w:pPr>
              <w:spacing w:before="20" w:after="2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20"/>
              </w:rPr>
              <w:t>按GB 18871及GBZ 120判定</w:t>
            </w:r>
          </w:p>
        </w:tc>
      </w:tr>
    </w:tbl>
    <w:p w14:paraId="2B2A8085">
      <w:pPr>
        <w:spacing w:before="0" w:after="40" w:line="336" w:lineRule="auto"/>
      </w:pPr>
    </w:p>
    <w:p w14:paraId="14BC038F">
      <w:pPr>
        <w:spacing w:before="200" w:after="80" w:line="336" w:lineRule="auto"/>
      </w:pPr>
      <w:r>
        <w:rPr>
          <w:rFonts w:ascii="黑体" w:hAnsi="黑体" w:eastAsia="黑体"/>
          <w:b/>
          <w:color w:val="1F3864"/>
          <w:sz w:val="26"/>
        </w:rPr>
        <w:t>一、项目基本情况</w:t>
      </w:r>
    </w:p>
    <w:p w14:paraId="1F156EBB">
      <w:pPr>
        <w:spacing w:before="0" w:after="100" w:line="336" w:lineRule="auto"/>
        <w:ind w:firstLine="480"/>
      </w:pPr>
      <w:r>
        <w:rPr>
          <w:rFonts w:ascii="宋体" w:hAnsi="宋体" w:eastAsia="宋体"/>
          <w:b w:val="0"/>
          <w:sz w:val="24"/>
        </w:rPr>
        <w:t>北京京顺医院拟在京顺健康城院区〔具体楼层区域〕新建核医学科工作场所1处，设置PET/CT机房、注射室、注射后候诊室、检查室、留观室、放射性废物暂存间及衰变池，配置PET/CT设备1台，开展肿瘤、心血管及神经系统疾病的正电子发射断层显像诊断。。</w:t>
      </w:r>
    </w:p>
    <w:p w14:paraId="48C702F6">
      <w:pPr>
        <w:spacing w:before="200" w:after="80" w:line="336" w:lineRule="auto"/>
      </w:pPr>
      <w:r>
        <w:rPr>
          <w:rFonts w:ascii="黑体" w:hAnsi="黑体" w:eastAsia="黑体"/>
          <w:b/>
          <w:color w:val="1F3864"/>
          <w:sz w:val="26"/>
        </w:rPr>
        <w:t>二、评价依据与执行标准</w:t>
      </w:r>
    </w:p>
    <w:p w14:paraId="605519D3">
      <w:pPr>
        <w:spacing w:before="0" w:after="100" w:line="336" w:lineRule="auto"/>
      </w:pPr>
      <w:r>
        <w:rPr>
          <w:rFonts w:ascii="宋体" w:hAnsi="宋体" w:eastAsia="宋体"/>
          <w:b w:val="0"/>
          <w:sz w:val="24"/>
        </w:rPr>
        <w:t>《中华人民共和国环境影响评价法》《放射性同位素与射线装置安全和防护条例》《建设项目环境影响评价分类管理名录》《环境影响评价技术导则 核技术利用建设项目》（HJ 10.1）、《电离辐射防护与辐射源安全基本标准》（GB 18871）、《核医学放射防护要求》（GBZ 120）、《医用放射性废物的卫生防护管理》（GBZ 133）及北京市相关地方标准。</w:t>
      </w:r>
    </w:p>
    <w:p w14:paraId="0C4A4132">
      <w:pPr>
        <w:spacing w:before="200" w:after="80" w:line="336" w:lineRule="auto"/>
      </w:pPr>
      <w:r>
        <w:rPr>
          <w:rFonts w:hint="eastAsia" w:ascii="黑体" w:hAnsi="黑体" w:eastAsia="黑体"/>
          <w:b/>
          <w:color w:val="1F3864"/>
          <w:sz w:val="26"/>
          <w:lang w:val="en-US" w:eastAsia="zh-CN"/>
        </w:rPr>
        <w:t>三、</w:t>
      </w:r>
      <w:r>
        <w:rPr>
          <w:rFonts w:ascii="黑体" w:hAnsi="黑体" w:eastAsia="黑体"/>
          <w:b/>
          <w:color w:val="1F3864"/>
          <w:sz w:val="26"/>
        </w:rPr>
        <w:t>工程分析与辐射安全防护</w:t>
      </w:r>
    </w:p>
    <w:p w14:paraId="4BE5C6BD">
      <w:pPr>
        <w:spacing w:before="0" w:after="100" w:line="336" w:lineRule="auto"/>
        <w:ind w:firstLine="480"/>
      </w:pPr>
      <w:r>
        <w:rPr>
          <w:rFonts w:ascii="宋体" w:hAnsi="宋体" w:eastAsia="宋体"/>
          <w:b w:val="0"/>
          <w:sz w:val="24"/>
        </w:rPr>
        <w:t>（一）总平面与分区。核医学科按监督区、控制区两级分区布置，人流物流单向，患者通道与医护通道分离，注射后患者设专用候诊区，出入口设缓冲区及表面污染监测点。</w:t>
      </w:r>
    </w:p>
    <w:p w14:paraId="2010F9C9">
      <w:pPr>
        <w:spacing w:before="0" w:after="100" w:line="336" w:lineRule="auto"/>
        <w:ind w:firstLine="480"/>
      </w:pPr>
      <w:r>
        <w:rPr>
          <w:rFonts w:ascii="宋体" w:hAnsi="宋体" w:eastAsia="宋体"/>
          <w:b w:val="0"/>
          <w:sz w:val="24"/>
        </w:rPr>
        <w:t>（二）屏蔽设计。PET/CT机房、注射室、候诊室墙体及防护门</w:t>
      </w:r>
      <w:r>
        <w:rPr>
          <w:rFonts w:hint="eastAsia" w:ascii="宋体" w:hAnsi="宋体" w:eastAsia="宋体"/>
          <w:b w:val="0"/>
          <w:sz w:val="24"/>
          <w:lang w:val="en-US" w:eastAsia="zh-CN"/>
        </w:rPr>
        <w:t>法规要求</w:t>
      </w:r>
      <w:r>
        <w:rPr>
          <w:rFonts w:ascii="宋体" w:hAnsi="宋体" w:eastAsia="宋体"/>
          <w:b w:val="0"/>
          <w:sz w:val="24"/>
        </w:rPr>
        <w:t>设计，具体厚度由环评机构依据源强、距离和居留因子计算确定；穿越管线的孔洞须做防护处</w:t>
      </w:r>
      <w:bookmarkStart w:id="0" w:name="_GoBack"/>
      <w:bookmarkEnd w:id="0"/>
      <w:r>
        <w:rPr>
          <w:rFonts w:ascii="宋体" w:hAnsi="宋体" w:eastAsia="宋体"/>
          <w:b w:val="0"/>
          <w:sz w:val="24"/>
        </w:rPr>
        <w:t>理，观察窗采用规定铅当量铅玻璃。</w:t>
      </w:r>
    </w:p>
    <w:p w14:paraId="1769B411">
      <w:pPr>
        <w:spacing w:before="0" w:after="100" w:line="336" w:lineRule="auto"/>
        <w:ind w:firstLine="480"/>
      </w:pPr>
      <w:r>
        <w:rPr>
          <w:rFonts w:ascii="宋体" w:hAnsi="宋体" w:eastAsia="宋体"/>
          <w:b w:val="0"/>
          <w:sz w:val="24"/>
        </w:rPr>
        <w:t>（三）通风与废物。核医学区域设独立排风系统；患者排泄物经专用管道或收集容器进入衰变池，存放〔≥10〕个半衰期后监测排放；固体放射性废物在暂存间分类存放、监测合格后按规清运。</w:t>
      </w:r>
    </w:p>
    <w:p w14:paraId="29DEF023">
      <w:pPr>
        <w:spacing w:before="0" w:after="100" w:line="336" w:lineRule="auto"/>
        <w:ind w:firstLine="480"/>
      </w:pPr>
      <w:r>
        <w:rPr>
          <w:rFonts w:ascii="宋体" w:hAnsi="宋体" w:eastAsia="宋体"/>
          <w:b w:val="0"/>
          <w:sz w:val="24"/>
        </w:rPr>
        <w:t>（四）安全设施。设门机联锁、工作状态指示灯、紧急停机按钮、固定式剂量率监测报警装置，配备表面污染仪、活度计及个人剂量计，建立个人剂量档案与职业健康监护档案。</w:t>
      </w:r>
    </w:p>
    <w:p w14:paraId="3B8B745A">
      <w:pPr>
        <w:spacing w:before="200" w:after="80" w:line="336" w:lineRule="auto"/>
      </w:pPr>
      <w:r>
        <w:rPr>
          <w:rFonts w:hint="eastAsia" w:ascii="黑体" w:hAnsi="黑体" w:eastAsia="黑体"/>
          <w:b/>
          <w:color w:val="1F3864"/>
          <w:sz w:val="26"/>
          <w:lang w:val="en-US" w:eastAsia="zh-CN"/>
        </w:rPr>
        <w:t>四、</w:t>
      </w:r>
      <w:r>
        <w:rPr>
          <w:rFonts w:ascii="黑体" w:hAnsi="黑体" w:eastAsia="黑体"/>
          <w:b/>
          <w:color w:val="1F3864"/>
          <w:sz w:val="26"/>
        </w:rPr>
        <w:t>环境影响分析</w:t>
      </w:r>
    </w:p>
    <w:p w14:paraId="473F8658">
      <w:pPr>
        <w:spacing w:before="0" w:after="100" w:line="336" w:lineRule="auto"/>
      </w:pPr>
      <w:r>
        <w:rPr>
          <w:rFonts w:ascii="宋体" w:hAnsi="宋体" w:eastAsia="宋体"/>
          <w:b w:val="0"/>
          <w:sz w:val="24"/>
        </w:rPr>
        <w:t>（一）正常运行工况：机房外及相邻区域剂量率应满足GBZ 120对职业照射和公众照射的剂量约束要求，周边敏感目标年有效剂量低于〔0.1〕mSv的公众剂量约束值；放射性废液、废气经衰变和净化后达标排放。</w:t>
      </w:r>
    </w:p>
    <w:p w14:paraId="1AE0FEBF">
      <w:pPr>
        <w:spacing w:before="0" w:after="100" w:line="336" w:lineRule="auto"/>
      </w:pPr>
      <w:r>
        <w:rPr>
          <w:rFonts w:ascii="宋体" w:hAnsi="宋体" w:eastAsia="宋体"/>
          <w:b w:val="0"/>
          <w:sz w:val="24"/>
        </w:rPr>
        <w:t>（二）事故工况：针对放射性药物洒漏、患者误入、设备故障、废物丢失等情景分析后果并提出应急措施。</w:t>
      </w:r>
    </w:p>
    <w:p w14:paraId="4478596A">
      <w:pPr>
        <w:spacing w:before="0" w:after="100" w:line="336" w:lineRule="auto"/>
      </w:pPr>
      <w:r>
        <w:rPr>
          <w:rFonts w:ascii="宋体" w:hAnsi="宋体" w:eastAsia="宋体"/>
          <w:b w:val="0"/>
          <w:sz w:val="24"/>
        </w:rPr>
        <w:t>（三）结论：在落实屏蔽防护、分区管理和废物处置措施的前提下，项目对周边环境与公众健康的影响可控制在标准允许范围内。</w:t>
      </w:r>
    </w:p>
    <w:p w14:paraId="0BAFAB9A">
      <w:pPr>
        <w:spacing w:before="200" w:after="80" w:line="336" w:lineRule="auto"/>
      </w:pPr>
      <w:r>
        <w:rPr>
          <w:rFonts w:hint="eastAsia" w:ascii="黑体" w:hAnsi="黑体" w:eastAsia="黑体"/>
          <w:b/>
          <w:color w:val="1F3864"/>
          <w:sz w:val="26"/>
          <w:lang w:val="en-US" w:eastAsia="zh-CN"/>
        </w:rPr>
        <w:t>五、</w:t>
      </w:r>
      <w:r>
        <w:rPr>
          <w:rFonts w:ascii="黑体" w:hAnsi="黑体" w:eastAsia="黑体"/>
          <w:b/>
          <w:color w:val="1F3864"/>
          <w:sz w:val="26"/>
        </w:rPr>
        <w:t>辐射安全管理</w:t>
      </w:r>
    </w:p>
    <w:p w14:paraId="58B3B768">
      <w:pPr>
        <w:spacing w:before="0" w:after="100" w:line="336" w:lineRule="auto"/>
        <w:rPr>
          <w:rFonts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>医院设辐射安全管理委员会，配备专（兼）职辐射安全管理人员；制定辐射安全管理制度、操作规程、设备质控方案和辐射事故应急预案；放射工作人员持证上岗，定期培训与职业健康检查。</w:t>
      </w:r>
    </w:p>
    <w:p w14:paraId="405F0692">
      <w:pPr>
        <w:spacing w:before="0" w:after="100" w:line="336" w:lineRule="auto"/>
        <w:rPr>
          <w:rFonts w:ascii="宋体" w:hAnsi="宋体" w:eastAsia="宋体"/>
          <w:b w:val="0"/>
          <w:sz w:val="24"/>
        </w:rPr>
      </w:pPr>
    </w:p>
    <w:p w14:paraId="4B097F7E">
      <w:pPr>
        <w:spacing w:before="0" w:after="100" w:line="336" w:lineRule="auto"/>
        <w:rPr>
          <w:rFonts w:hint="eastAsia" w:ascii="宋体" w:hAnsi="宋体" w:eastAsia="宋体"/>
          <w:b w:val="0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sz w:val="24"/>
          <w:lang w:val="en-US" w:eastAsia="zh-CN"/>
        </w:rPr>
        <w:t xml:space="preserve">                                            </w:t>
      </w:r>
    </w:p>
    <w:p w14:paraId="5B3A3D54">
      <w:pPr>
        <w:spacing w:before="0" w:after="100" w:line="336" w:lineRule="auto"/>
        <w:rPr>
          <w:rFonts w:hint="default" w:ascii="宋体" w:hAnsi="宋体" w:eastAsia="宋体"/>
          <w:b w:val="0"/>
          <w:sz w:val="24"/>
          <w:lang w:val="en-US" w:eastAsia="zh-CN"/>
        </w:rPr>
      </w:pPr>
      <w:r>
        <w:rPr>
          <w:rFonts w:hint="eastAsia" w:ascii="宋体" w:hAnsi="宋体" w:eastAsia="宋体"/>
          <w:b w:val="0"/>
          <w:sz w:val="24"/>
          <w:lang w:val="en-US" w:eastAsia="zh-CN"/>
        </w:rPr>
        <w:t xml:space="preserve">                                                        </w:t>
      </w:r>
    </w:p>
    <w:sectPr>
      <w:pgSz w:w="11906" w:h="16838"/>
      <w:pgMar w:top="1304" w:right="1474" w:bottom="1304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FD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854</Characters>
  <Lines>0</Lines>
  <Paragraphs>0</Paragraphs>
  <TotalTime>9</TotalTime>
  <ScaleCrop>false</ScaleCrop>
  <LinksUpToDate>false</LinksUpToDate>
  <CharactersWithSpaces>866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XYC</cp:lastModifiedBy>
  <dcterms:modified xsi:type="dcterms:W3CDTF">2026-10-27T02:06:21Z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eyJoZGlkIjoiNmQ1ZTliNDQ1NzIyMjEzMTdlMGM3YzExMGE5Y2Y0ZDkifQ==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AA11E11F9FA24149962B891A9A007672_13</vt:lpwstr>
  </property>
</Properties>
</file>